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BC58A0" w14:textId="77777777" w:rsidR="009D0994" w:rsidRPr="00951C81" w:rsidRDefault="009D0994" w:rsidP="00FD6396">
      <w:pPr>
        <w:ind w:right="-150" w:hanging="284"/>
        <w:jc w:val="both"/>
        <w:rPr>
          <w:sz w:val="20"/>
          <w:szCs w:val="20"/>
        </w:rPr>
      </w:pPr>
      <w:bookmarkStart w:id="0" w:name="_Hlk97660673"/>
      <w:bookmarkStart w:id="1" w:name="_GoBack"/>
      <w:bookmarkEnd w:id="1"/>
      <w:r>
        <w:rPr>
          <w:sz w:val="20"/>
        </w:rPr>
        <w:t>Comunicado de prensa n.º 26/2024</w:t>
      </w:r>
      <w:bookmarkEnd w:id="0"/>
    </w:p>
    <w:p w14:paraId="79A0F014" w14:textId="77777777" w:rsidR="009D0994" w:rsidRDefault="009D0994" w:rsidP="00FD6396">
      <w:pPr>
        <w:ind w:left="-284" w:right="-150"/>
        <w:jc w:val="both"/>
        <w:rPr>
          <w:sz w:val="2"/>
          <w:szCs w:val="2"/>
          <w:lang w:val="it-IT"/>
        </w:rPr>
      </w:pPr>
    </w:p>
    <w:p w14:paraId="4F1623C1" w14:textId="77777777" w:rsidR="00FD6396" w:rsidRPr="00951C81" w:rsidRDefault="00FD6396" w:rsidP="00FD6396">
      <w:pPr>
        <w:ind w:left="-284" w:right="-150"/>
        <w:jc w:val="both"/>
        <w:rPr>
          <w:sz w:val="2"/>
          <w:szCs w:val="2"/>
          <w:lang w:val="it-IT"/>
        </w:rPr>
      </w:pPr>
    </w:p>
    <w:p w14:paraId="2E271612" w14:textId="77777777" w:rsidR="009D0994" w:rsidRPr="00951C81" w:rsidRDefault="009D0994" w:rsidP="00FD6396">
      <w:pPr>
        <w:ind w:left="-284" w:right="-150"/>
        <w:jc w:val="both"/>
      </w:pPr>
      <w:r>
        <w:rPr>
          <w:b/>
        </w:rPr>
        <w:t>Máquinas agrícolas: mercados en retroceso, a la espera de la recuperación</w:t>
      </w:r>
    </w:p>
    <w:p w14:paraId="2C866C1C" w14:textId="77777777" w:rsidR="009D0994" w:rsidRPr="00951C81" w:rsidRDefault="009D0994" w:rsidP="00FD6396">
      <w:pPr>
        <w:ind w:left="-284" w:right="-150"/>
        <w:jc w:val="both"/>
        <w:rPr>
          <w:rFonts w:cs="Times New Roman"/>
          <w:sz w:val="2"/>
          <w:szCs w:val="2"/>
          <w:lang w:val="it-IT"/>
        </w:rPr>
      </w:pPr>
    </w:p>
    <w:p w14:paraId="3BEE3129" w14:textId="77777777" w:rsidR="009D0994" w:rsidRDefault="009D0994" w:rsidP="00FD6396">
      <w:pPr>
        <w:ind w:left="-284" w:right="-150"/>
        <w:jc w:val="both"/>
        <w:rPr>
          <w:b/>
          <w:i/>
          <w:sz w:val="23"/>
        </w:rPr>
      </w:pPr>
      <w:r>
        <w:rPr>
          <w:b/>
          <w:i/>
          <w:sz w:val="23"/>
        </w:rPr>
        <w:t>En los primeros seis meses de 2024, la evolución poco favorable de los sectores agrícola e industrial están frenando las ventas de tractores en el mercado internacional, que registra un descenso global del 12 % con respecto al mismo período de 2023. Para el resto del año, no se prevén inversiones de tendencia. El receso se debe a factores coyunturales, no a una disminución de la necesidad de tecnologías, impulsada por una agricultura en constante desarrollo. Conciliar productividad y sostenibilidad es el objetivo prioritario.</w:t>
      </w:r>
    </w:p>
    <w:p w14:paraId="006573BF" w14:textId="77777777" w:rsidR="00FD6396" w:rsidRPr="00951C81" w:rsidRDefault="00FD6396" w:rsidP="00FD6396">
      <w:pPr>
        <w:ind w:left="-284" w:right="-150"/>
        <w:jc w:val="both"/>
        <w:rPr>
          <w:rFonts w:cs="Times New Roman"/>
          <w:b/>
          <w:bCs/>
          <w:i/>
          <w:iCs/>
          <w:sz w:val="23"/>
          <w:szCs w:val="23"/>
        </w:rPr>
      </w:pPr>
    </w:p>
    <w:p w14:paraId="3BE0B435" w14:textId="77777777" w:rsidR="009D0994" w:rsidRPr="00951C81" w:rsidRDefault="009D0994" w:rsidP="00FD6396">
      <w:pPr>
        <w:ind w:left="-284" w:right="-150"/>
        <w:jc w:val="both"/>
        <w:rPr>
          <w:rFonts w:cs="Times New Roman"/>
          <w:i/>
          <w:iCs/>
          <w:sz w:val="2"/>
          <w:szCs w:val="2"/>
          <w:lang w:val="it-IT"/>
        </w:rPr>
      </w:pPr>
    </w:p>
    <w:p w14:paraId="366E2594" w14:textId="0B9287B2" w:rsidR="009D0994" w:rsidRPr="00951C81" w:rsidRDefault="009D0994" w:rsidP="00FD6396">
      <w:pPr>
        <w:ind w:left="-284" w:right="-150"/>
        <w:jc w:val="both"/>
        <w:rPr>
          <w:rFonts w:cs="Times New Roman"/>
          <w:sz w:val="23"/>
          <w:szCs w:val="23"/>
        </w:rPr>
      </w:pPr>
      <w:r>
        <w:rPr>
          <w:sz w:val="23"/>
        </w:rPr>
        <w:t xml:space="preserve">El sector de la mecánica agrícola </w:t>
      </w:r>
      <w:r w:rsidR="005E31A6">
        <w:rPr>
          <w:sz w:val="23"/>
        </w:rPr>
        <w:t xml:space="preserve">está </w:t>
      </w:r>
      <w:r>
        <w:rPr>
          <w:sz w:val="23"/>
        </w:rPr>
        <w:t>directamente afectado por las variables que condicionan tanto a la economía industrial como a la agrícola. En el pasado año y en este, la evolución del sector industrial se ha visto influida por el elevado coste de las materias primas y de los suministros de energía –vinculado a factores geopolíticos y a la guerra en Medio Oriente–, mientras que las políticas monetarias restrictivas, aplicadas para limitar la inflación, han reducido el acceso al crédito y han frenado las inversiones.</w:t>
      </w:r>
    </w:p>
    <w:p w14:paraId="3AA46DD1" w14:textId="7248B70E" w:rsidR="009D0994" w:rsidRPr="00951C81" w:rsidRDefault="009D0994" w:rsidP="00FD6396">
      <w:pPr>
        <w:ind w:left="-284" w:right="-150"/>
        <w:jc w:val="both"/>
        <w:rPr>
          <w:rFonts w:cs="Times New Roman"/>
          <w:sz w:val="23"/>
          <w:szCs w:val="23"/>
        </w:rPr>
      </w:pPr>
      <w:r>
        <w:rPr>
          <w:sz w:val="23"/>
        </w:rPr>
        <w:t xml:space="preserve">Al mismo tiempo, la economía agrícola no </w:t>
      </w:r>
      <w:r w:rsidR="005E31A6">
        <w:rPr>
          <w:sz w:val="23"/>
        </w:rPr>
        <w:t xml:space="preserve">está </w:t>
      </w:r>
      <w:r>
        <w:rPr>
          <w:sz w:val="23"/>
        </w:rPr>
        <w:t>experimenta</w:t>
      </w:r>
      <w:r w:rsidR="005E31A6">
        <w:rPr>
          <w:sz w:val="23"/>
        </w:rPr>
        <w:t>ndo</w:t>
      </w:r>
      <w:r>
        <w:rPr>
          <w:sz w:val="23"/>
        </w:rPr>
        <w:t xml:space="preserve"> una mejora significativa en términos de producción y rentabilidad. La campaña agrícola 2024-25 debería confirmar, para los cereales, los volúmenes de la anterior (-0,05 %), con aumentos de producción en Australia (trigo), EE. UU. (maíz) e India (arroz), pero con un descenso generalizado en Europa (-7 %) debido a las </w:t>
      </w:r>
      <w:r w:rsidR="005E31A6">
        <w:rPr>
          <w:sz w:val="23"/>
        </w:rPr>
        <w:t xml:space="preserve">actuales </w:t>
      </w:r>
      <w:r>
        <w:rPr>
          <w:sz w:val="23"/>
        </w:rPr>
        <w:t>condicio</w:t>
      </w:r>
      <w:r w:rsidR="005E31A6">
        <w:rPr>
          <w:sz w:val="23"/>
        </w:rPr>
        <w:t>nes meteorológicas desfavorables</w:t>
      </w:r>
      <w:r>
        <w:rPr>
          <w:sz w:val="23"/>
        </w:rPr>
        <w:t xml:space="preserve">. Sin embargo, en 2024 se ha registrado un aumento limitado (+0,7 %) de la producción mundial de carne, impulsada por América del Sur y Oceanía, que han compensado las caídas de China, América del Norte y Europa. </w:t>
      </w:r>
    </w:p>
    <w:p w14:paraId="5115B69A" w14:textId="77777777" w:rsidR="009D0994" w:rsidRPr="00951C81" w:rsidRDefault="009D0994" w:rsidP="00FD6396">
      <w:pPr>
        <w:ind w:left="-284" w:right="-150"/>
        <w:jc w:val="both"/>
        <w:rPr>
          <w:rFonts w:cs="Times New Roman"/>
          <w:sz w:val="23"/>
          <w:szCs w:val="23"/>
        </w:rPr>
      </w:pPr>
      <w:r>
        <w:rPr>
          <w:sz w:val="23"/>
        </w:rPr>
        <w:t>La coyuntura que ha caracterizado la evolución de los sectores agrícola e industrial ha influido en el mercado agromecánico global. El creciente coste de los medios mecánicos –este es el panorama esbozado por FederUnacoma esta tarde en Bolonia, con motivo de la rueda de prensa de presentación de EIMA International–, combinado con la dificultad de acceder al crédito y con una evolución del sector primario nada favorable, ha dado lugar a una reducción de las inversiones para la compra de nuevas tecnologías.</w:t>
      </w:r>
    </w:p>
    <w:p w14:paraId="490B1D51" w14:textId="639B3081" w:rsidR="009D0994" w:rsidRPr="00951C81" w:rsidRDefault="009D0994" w:rsidP="00FD6396">
      <w:pPr>
        <w:ind w:left="-284" w:right="-150"/>
        <w:jc w:val="both"/>
        <w:rPr>
          <w:rFonts w:cs="Times New Roman"/>
          <w:sz w:val="23"/>
          <w:szCs w:val="23"/>
        </w:rPr>
      </w:pPr>
      <w:r>
        <w:rPr>
          <w:sz w:val="23"/>
        </w:rPr>
        <w:t xml:space="preserve">Los datos de Agrievolution, el organismo que reúne a las asociaciones de fabricantes de los principales países, indican un descenso de las ventas globales de tractores del 12 % en los primeros seis meses del año con respecto al primer semestre de 2023. Pierden terreno todos los mercados de referencia. India, que en los últimos años había registrado una tendencia de crecimiento casi ininterrumpida, cayó un 10 %, al igual que China, mientras que Estados Unidos cayó un 12 %. Una señal negativa también en Europa Occidental, donde pierden terreno, aunque en distinta medida, los dos principales mercados nacionales, el francés (-8 %) y el alemán (-1 %). </w:t>
      </w:r>
      <w:r w:rsidR="005E31A6">
        <w:rPr>
          <w:sz w:val="23"/>
        </w:rPr>
        <w:t>También s</w:t>
      </w:r>
      <w:r>
        <w:rPr>
          <w:sz w:val="23"/>
        </w:rPr>
        <w:t>e registraron caídas notables en Canadá (-16 %), Japón (-28 %), Rusia (-32 %) y Turquía</w:t>
      </w:r>
      <w:r w:rsidR="005E31A6">
        <w:rPr>
          <w:sz w:val="23"/>
        </w:rPr>
        <w:t> </w:t>
      </w:r>
      <w:r>
        <w:rPr>
          <w:sz w:val="23"/>
        </w:rPr>
        <w:t>(-20 %).</w:t>
      </w:r>
    </w:p>
    <w:p w14:paraId="4A70916E" w14:textId="77777777" w:rsidR="009D0994" w:rsidRPr="00951C81" w:rsidRDefault="009D0994" w:rsidP="00FD6396">
      <w:pPr>
        <w:ind w:left="-284" w:right="-150"/>
        <w:jc w:val="both"/>
        <w:rPr>
          <w:rFonts w:cs="Times New Roman"/>
          <w:sz w:val="23"/>
          <w:szCs w:val="23"/>
        </w:rPr>
      </w:pPr>
      <w:r>
        <w:rPr>
          <w:sz w:val="23"/>
        </w:rPr>
        <w:t>En la segunda mitad de 2024 no se espera que se produzcan cambios de tendencia significativos, por lo que, para finales de año, se prevé un balance global negativo con un total de tractores vendidos en todo el mundo que no superará los 2 millones de unidades. Esto representaría el nivel más bajo desde 2016, dado que –como se ha explicado durante la rueda de prensa– en el período 2017-2023 el número de tractores vendidos en todo el mundo fue, en promedio, igual a 2,2 millones de unidades con picos de ventas en 2021 (2,5 millones) y en 2022 (2,4 millones).</w:t>
      </w:r>
    </w:p>
    <w:p w14:paraId="16B7ED6C" w14:textId="77777777" w:rsidR="005E31A6" w:rsidRDefault="009D0994" w:rsidP="00FD6396">
      <w:pPr>
        <w:ind w:left="-284" w:right="-150"/>
        <w:jc w:val="both"/>
        <w:rPr>
          <w:sz w:val="23"/>
        </w:rPr>
      </w:pPr>
      <w:r>
        <w:rPr>
          <w:sz w:val="23"/>
        </w:rPr>
        <w:t>Sin embargo, la contracción del mercado global registrada el año pasado y el primer semestre de este año se puede atribuir más a factores coyunturales que a una c</w:t>
      </w:r>
      <w:r w:rsidR="005E31A6">
        <w:rPr>
          <w:sz w:val="23"/>
        </w:rPr>
        <w:t>aída real de la demanda global.</w:t>
      </w:r>
    </w:p>
    <w:p w14:paraId="30AE5123" w14:textId="77777777" w:rsidR="005E31A6" w:rsidRDefault="005E31A6">
      <w:pPr>
        <w:rPr>
          <w:sz w:val="23"/>
        </w:rPr>
      </w:pPr>
      <w:r>
        <w:rPr>
          <w:sz w:val="23"/>
        </w:rPr>
        <w:br w:type="page"/>
      </w:r>
    </w:p>
    <w:p w14:paraId="5B87FD1B" w14:textId="291BF5B8" w:rsidR="00FD6396" w:rsidRDefault="009D0994" w:rsidP="00FD6396">
      <w:pPr>
        <w:ind w:left="-284" w:right="-150"/>
        <w:jc w:val="both"/>
        <w:rPr>
          <w:sz w:val="23"/>
        </w:rPr>
      </w:pPr>
      <w:r>
        <w:rPr>
          <w:sz w:val="23"/>
        </w:rPr>
        <w:lastRenderedPageBreak/>
        <w:t>“A medio y largo plazo, la necesidad de tecnologías agrícolas para el sector primario está destinada a crecer, impulsada por una agricultura en constante desarrollo –ha explicado la presidenta de FederUnacoma, Mariateresa Maschio– y por el aumento de la población mundial, estimada en 10.000 millones de personas de aquí a 2050, lo que hará necesario aumentar la producción agrícola en un 50 % respecto a los niveles actuales”.</w:t>
      </w:r>
    </w:p>
    <w:p w14:paraId="0B05CDFA" w14:textId="57902243" w:rsidR="009D0994" w:rsidRDefault="009D0994" w:rsidP="00FD6396">
      <w:pPr>
        <w:ind w:left="-284" w:right="-150"/>
        <w:jc w:val="both"/>
        <w:rPr>
          <w:sz w:val="23"/>
        </w:rPr>
      </w:pPr>
      <w:r>
        <w:rPr>
          <w:sz w:val="23"/>
        </w:rPr>
        <w:t>“</w:t>
      </w:r>
      <w:r w:rsidR="005E31A6">
        <w:rPr>
          <w:sz w:val="23"/>
        </w:rPr>
        <w:t>Así pues, e</w:t>
      </w:r>
      <w:r>
        <w:rPr>
          <w:sz w:val="23"/>
        </w:rPr>
        <w:t>l sector de la mecánica agrícola –ha subrayado la presidente de FederUnacoma– se enfrenta</w:t>
      </w:r>
      <w:r w:rsidR="005E31A6">
        <w:rPr>
          <w:sz w:val="23"/>
        </w:rPr>
        <w:t xml:space="preserve"> </w:t>
      </w:r>
      <w:r>
        <w:rPr>
          <w:sz w:val="23"/>
        </w:rPr>
        <w:t>a un desafío crucial, no solo en términos de aumento del rendimiento de la producción, sino también en términos de sostenibilidad”. “El sector agromecánico debe producir tecnologías que –ha concluido Mariateresa Maschio– se adapten a los más diversos contextos ambientales y climáticos, y que ayuden a la agricultura a solucionar los problemas relacionados con la falta de recursos hídricos y la pérdida de fertilidad del suelo”.</w:t>
      </w:r>
    </w:p>
    <w:p w14:paraId="5EB2438F" w14:textId="77777777" w:rsidR="00FD6396" w:rsidRPr="00951C81" w:rsidRDefault="00FD6396" w:rsidP="00FD6396">
      <w:pPr>
        <w:ind w:left="-284" w:right="-150"/>
        <w:jc w:val="both"/>
        <w:rPr>
          <w:rFonts w:cs="Times New Roman"/>
          <w:sz w:val="23"/>
          <w:szCs w:val="23"/>
        </w:rPr>
      </w:pPr>
    </w:p>
    <w:p w14:paraId="763B532A" w14:textId="77D6A42E" w:rsidR="00E95EA3" w:rsidRPr="00FD6396" w:rsidRDefault="009D0994" w:rsidP="00FD6396">
      <w:pPr>
        <w:ind w:left="-284" w:right="-150"/>
        <w:jc w:val="both"/>
        <w:rPr>
          <w:rFonts w:cs="Times New Roman"/>
          <w:b/>
          <w:bCs/>
          <w:i/>
          <w:iCs/>
          <w:sz w:val="23"/>
          <w:szCs w:val="23"/>
        </w:rPr>
      </w:pPr>
      <w:r>
        <w:rPr>
          <w:b/>
          <w:i/>
          <w:sz w:val="23"/>
        </w:rPr>
        <w:t>Bolonia, 5 de noviembre de 2024</w:t>
      </w:r>
    </w:p>
    <w:sectPr w:rsidR="00E95EA3" w:rsidRPr="00FD6396" w:rsidSect="00D406B4">
      <w:headerReference w:type="default" r:id="rId8"/>
      <w:pgSz w:w="11900" w:h="16840"/>
      <w:pgMar w:top="0" w:right="1134" w:bottom="284" w:left="326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189614" w14:textId="77777777" w:rsidR="009B1651" w:rsidRDefault="009B1651">
      <w:r>
        <w:separator/>
      </w:r>
    </w:p>
  </w:endnote>
  <w:endnote w:type="continuationSeparator" w:id="0">
    <w:p w14:paraId="43657764" w14:textId="77777777" w:rsidR="009B1651" w:rsidRDefault="009B16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Neue">
    <w:altName w:val="Arial"/>
    <w:charset w:val="00"/>
    <w:family w:val="auto"/>
    <w:pitch w:val="variable"/>
    <w:sig w:usb0="E50002FF" w:usb1="500079DB" w:usb2="0000001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2F0100" w14:textId="77777777" w:rsidR="009B1651" w:rsidRDefault="009B1651">
      <w:r>
        <w:separator/>
      </w:r>
    </w:p>
  </w:footnote>
  <w:footnote w:type="continuationSeparator" w:id="0">
    <w:p w14:paraId="6541DEC7" w14:textId="77777777" w:rsidR="009B1651" w:rsidRDefault="009B16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E57FCD" w14:textId="5331F6D4" w:rsidR="005B51B0" w:rsidRDefault="005B51B0">
    <w:pPr>
      <w:pStyle w:val="Encabezado"/>
      <w:tabs>
        <w:tab w:val="clear" w:pos="9638"/>
        <w:tab w:val="right" w:pos="7485"/>
      </w:tabs>
    </w:pPr>
    <w:r>
      <w:rPr>
        <w:noProof/>
        <w:lang w:eastAsia="es-ES"/>
      </w:rPr>
      <mc:AlternateContent>
        <mc:Choice Requires="wps">
          <w:drawing>
            <wp:anchor distT="152400" distB="152400" distL="152400" distR="152400" simplePos="0" relativeHeight="251658240" behindDoc="1" locked="0" layoutInCell="1" allowOverlap="1" wp14:anchorId="71F74204" wp14:editId="29927EE6">
              <wp:simplePos x="0" y="0"/>
              <wp:positionH relativeFrom="page">
                <wp:posOffset>0</wp:posOffset>
              </wp:positionH>
              <wp:positionV relativeFrom="page">
                <wp:posOffset>0</wp:posOffset>
              </wp:positionV>
              <wp:extent cx="7556500" cy="10693400"/>
              <wp:effectExtent l="0" t="0" r="0" b="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10693400"/>
                      </a:xfrm>
                      <a:prstGeom prst="roundRect">
                        <a:avLst>
                          <a:gd name="adj" fmla="val 20000"/>
                        </a:avLst>
                      </a:prstGeom>
                      <a:solidFill>
                        <a:srgbClr val="FFFFFF"/>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6EF49D47" id="AutoShape 2" o:spid="_x0000_s1026" style="position:absolute;margin-left:0;margin-top:0;width:595pt;height:842pt;z-index:-251658240;visibility:visible;mso-wrap-style:square;mso-width-percent:0;mso-height-percent:0;mso-wrap-distance-left:12pt;mso-wrap-distance-top:12pt;mso-wrap-distance-right:12pt;mso-wrap-distance-bottom:12pt;mso-position-horizontal:absolute;mso-position-horizontal-relative:page;mso-position-vertical:absolute;mso-position-vertical-relative:page;mso-width-percent:0;mso-height-percent:0;mso-width-relative:page;mso-height-relative:page;v-text-anchor:top" arcsize="1310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" stroked="f">
              <w10:wrap anchorx="page" anchory="page"/>
            </v:roundrect>
          </w:pict>
        </mc:Fallback>
      </mc:AlternateContent>
    </w:r>
    <w:r>
      <w:rPr>
        <w:noProof/>
        <w:lang w:eastAsia="es-ES"/>
      </w:rPr>
      <w:drawing>
        <wp:anchor distT="152400" distB="152400" distL="152400" distR="152400" simplePos="0" relativeHeight="251659264" behindDoc="1" locked="0" layoutInCell="1" allowOverlap="1" wp14:anchorId="35AC84D2" wp14:editId="36703F63">
          <wp:simplePos x="0" y="0"/>
          <wp:positionH relativeFrom="page">
            <wp:posOffset>-31749</wp:posOffset>
          </wp:positionH>
          <wp:positionV relativeFrom="page">
            <wp:posOffset>3175</wp:posOffset>
          </wp:positionV>
          <wp:extent cx="7588885" cy="10744200"/>
          <wp:effectExtent l="0" t="0" r="0" b="0"/>
          <wp:wrapNone/>
          <wp:docPr id="1073741826" name="officeArt object" descr="CARTA INT EIMA com stampa 2014.jpeg"/>
          <wp:cNvGraphicFramePr/>
          <a:graphic xmlns:a="http://schemas.openxmlformats.org/drawingml/2006/main">
            <a:graphicData uri="http://schemas.openxmlformats.org/drawingml/2006/picture">
              <pic:pic xmlns:pic="http://schemas.openxmlformats.org/drawingml/2006/picture">
                <pic:nvPicPr>
                  <pic:cNvPr id="1073741826" name="CARTA INT EIMA com stampa 2014.jpeg" descr="CARTA INT EIMA com stampa 2014.jpeg"/>
                  <pic:cNvPicPr>
                    <a:picLocks noChangeAspect="1"/>
                  </pic:cNvPicPr>
                </pic:nvPicPr>
                <pic:blipFill>
                  <a:blip r:embed="rId1"/>
                  <a:stretch>
                    <a:fillRect/>
                  </a:stretch>
                </pic:blipFill>
                <pic:spPr>
                  <a:xfrm>
                    <a:off x="0" y="0"/>
                    <a:ext cx="7588885" cy="10744200"/>
                  </a:xfrm>
                  <a:prstGeom prst="rect">
                    <a:avLst/>
                  </a:prstGeom>
                  <a:ln w="12700" cap="flat">
                    <a:noFill/>
                    <a:miter lim="400000"/>
                  </a:ln>
                  <a:effectLst/>
                </pic:spPr>
              </pic:pic>
            </a:graphicData>
          </a:graphic>
        </wp:anchor>
      </w:drawing>
    </w:r>
    <w:r>
      <w:rPr>
        <w:noProof/>
        <w:lang w:eastAsia="es-ES"/>
      </w:rPr>
      <mc:AlternateContent>
        <mc:Choice Requires="wps">
          <w:drawing>
            <wp:anchor distT="152400" distB="152400" distL="152400" distR="152400" simplePos="0" relativeHeight="251660288" behindDoc="1" locked="0" layoutInCell="1" allowOverlap="1" wp14:anchorId="0B3C7D4E" wp14:editId="787E7E02">
              <wp:simplePos x="0" y="0"/>
              <wp:positionH relativeFrom="page">
                <wp:posOffset>6981825</wp:posOffset>
              </wp:positionH>
              <wp:positionV relativeFrom="page">
                <wp:posOffset>5091430</wp:posOffset>
              </wp:positionV>
              <wp:extent cx="574675" cy="329565"/>
              <wp:effectExtent l="0" t="0" r="0" b="0"/>
              <wp:wrapNone/>
              <wp:docPr id="1" name="officeArt object"/>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4675" cy="329565"/>
                      </a:xfrm>
                      <a:prstGeom prst="rect">
                        <a:avLst/>
                      </a:prstGeom>
                      <a:solidFill>
                        <a:srgbClr val="FFFFFF"/>
                      </a:solidFill>
                      <a:ln>
                        <a:noFill/>
                      </a:ln>
                    </wps:spPr>
                    <wps:txbx>
                      <w:txbxContent>
                        <w:p w14:paraId="56491F6E" w14:textId="77777777" w:rsidR="005B51B0" w:rsidRDefault="005B51B0">
                          <w:pPr>
                            <w:pBdr>
                              <w:bottom w:val="single" w:sz="4" w:space="0" w:color="000000"/>
                            </w:pBdr>
                          </w:pPr>
                          <w:r>
                            <w:rPr>
                              <w:rStyle w:val="Nessuno"/>
                            </w:rPr>
                            <w:fldChar w:fldCharType="begin"/>
                          </w:r>
                          <w:r>
                            <w:rPr>
                              <w:rStyle w:val="Nessuno"/>
                            </w:rPr>
                            <w:instrText xml:space="preserve"> PAGE </w:instrText>
                          </w:r>
                          <w:r>
                            <w:rPr>
                              <w:rStyle w:val="Nessuno"/>
                            </w:rPr>
                            <w:fldChar w:fldCharType="separate"/>
                          </w:r>
                          <w:r w:rsidR="005B2C18">
                            <w:rPr>
                              <w:rStyle w:val="Nessuno"/>
                              <w:noProof/>
                            </w:rPr>
                            <w:t>2</w:t>
                          </w:r>
                          <w:r>
                            <w:rPr>
                              <w:rStyle w:val="Nessuno"/>
                            </w:rPr>
                            <w:fldChar w:fldCharType="end"/>
                          </w:r>
                        </w:p>
                      </w:txbxContent>
                    </wps:txbx>
                    <wps:bodyPr rot="0" vert="horz"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3C7D4E" id="officeArt object" o:spid="_x0000_s1026" style="position:absolute;margin-left:549.75pt;margin-top:400.9pt;width:45.25pt;height:25.95pt;z-index:-251656192;visibility:visible;mso-wrap-style:square;mso-width-percent:0;mso-height-percent:0;mso-wrap-distance-left:12pt;mso-wrap-distance-top:12pt;mso-wrap-distance-right:12pt;mso-wrap-distance-bottom:12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" stroked="f">
              <v:textbox inset="3.6pt,,3.6pt">
                <w:txbxContent>
                  <w:p w14:paraId="56491F6E" w14:textId="77777777" w:rsidR="005B51B0" w:rsidRDefault="005B51B0">
                    <w:pPr>
                      <w:pBdr>
                        <w:bottom w:val="single" w:sz="4" w:space="0" w:color="000000"/>
                      </w:pBdr>
                    </w:pPr>
                    <w:r>
                      <w:rPr>
                        <w:rStyle w:val="Nessuno"/>
                      </w:rPr>
                      <w:fldChar w:fldCharType="begin"/>
                    </w:r>
                    <w:r>
                      <w:rPr>
                        <w:rStyle w:val="Nessuno"/>
                      </w:rPr>
                      <w:instrText xml:space="preserve"> PAGE </w:instrText>
                    </w:r>
                    <w:r>
                      <w:rPr>
                        <w:rStyle w:val="Nessuno"/>
                      </w:rPr>
                      <w:fldChar w:fldCharType="separate"/>
                    </w:r>
                    <w:r w:rsidR="005B2C18">
                      <w:rPr>
                        <w:rStyle w:val="Nessuno"/>
                        <w:noProof/>
                      </w:rPr>
                      <w:t>2</w:t>
                    </w:r>
                    <w:r>
                      <w:rPr>
                        <w:rStyle w:val="Nessuno"/>
                      </w:rPr>
                      <w:fldChar w:fldCharType="end"/>
                    </w:r>
                  </w:p>
                </w:txbxContent>
              </v:textbox>
              <w10:wrap anchorx="page" anchory="page"/>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21440C7"/>
    <w:multiLevelType w:val="hybridMultilevel"/>
    <w:tmpl w:val="A094C7E6"/>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0302"/>
    <w:rsid w:val="000200D6"/>
    <w:rsid w:val="00026144"/>
    <w:rsid w:val="00026654"/>
    <w:rsid w:val="00027343"/>
    <w:rsid w:val="00030F18"/>
    <w:rsid w:val="0003430A"/>
    <w:rsid w:val="00041BBC"/>
    <w:rsid w:val="00042520"/>
    <w:rsid w:val="0004548F"/>
    <w:rsid w:val="000553B5"/>
    <w:rsid w:val="00055CC6"/>
    <w:rsid w:val="00060FFF"/>
    <w:rsid w:val="00063150"/>
    <w:rsid w:val="000632BF"/>
    <w:rsid w:val="00070D00"/>
    <w:rsid w:val="00076A4E"/>
    <w:rsid w:val="00077E0A"/>
    <w:rsid w:val="00082E65"/>
    <w:rsid w:val="00095345"/>
    <w:rsid w:val="000953A3"/>
    <w:rsid w:val="00097B12"/>
    <w:rsid w:val="000A3BA0"/>
    <w:rsid w:val="000C1579"/>
    <w:rsid w:val="000C1E4E"/>
    <w:rsid w:val="000C4DE4"/>
    <w:rsid w:val="000D5D90"/>
    <w:rsid w:val="000E71A7"/>
    <w:rsid w:val="000F4FAE"/>
    <w:rsid w:val="00112B03"/>
    <w:rsid w:val="00124A76"/>
    <w:rsid w:val="00126A67"/>
    <w:rsid w:val="0012789F"/>
    <w:rsid w:val="00157D22"/>
    <w:rsid w:val="00180463"/>
    <w:rsid w:val="0018354D"/>
    <w:rsid w:val="001914CE"/>
    <w:rsid w:val="00191F36"/>
    <w:rsid w:val="001968E5"/>
    <w:rsid w:val="00196FD7"/>
    <w:rsid w:val="001B7564"/>
    <w:rsid w:val="001E6873"/>
    <w:rsid w:val="00212768"/>
    <w:rsid w:val="0022432E"/>
    <w:rsid w:val="00225312"/>
    <w:rsid w:val="002415A7"/>
    <w:rsid w:val="002434A4"/>
    <w:rsid w:val="00250215"/>
    <w:rsid w:val="00256769"/>
    <w:rsid w:val="002633C4"/>
    <w:rsid w:val="00265E2B"/>
    <w:rsid w:val="002727C9"/>
    <w:rsid w:val="002A081C"/>
    <w:rsid w:val="002B0B49"/>
    <w:rsid w:val="002D274C"/>
    <w:rsid w:val="002F353D"/>
    <w:rsid w:val="003076AD"/>
    <w:rsid w:val="003105A9"/>
    <w:rsid w:val="003241F7"/>
    <w:rsid w:val="00330ADB"/>
    <w:rsid w:val="00361F16"/>
    <w:rsid w:val="00363902"/>
    <w:rsid w:val="00364712"/>
    <w:rsid w:val="00370F76"/>
    <w:rsid w:val="00371FC4"/>
    <w:rsid w:val="00391ED7"/>
    <w:rsid w:val="00395CEF"/>
    <w:rsid w:val="003A5287"/>
    <w:rsid w:val="003B358C"/>
    <w:rsid w:val="003B4387"/>
    <w:rsid w:val="003B7D16"/>
    <w:rsid w:val="003C6A3B"/>
    <w:rsid w:val="003E7631"/>
    <w:rsid w:val="003F68D0"/>
    <w:rsid w:val="003F799E"/>
    <w:rsid w:val="00406182"/>
    <w:rsid w:val="00412B9F"/>
    <w:rsid w:val="00425BB9"/>
    <w:rsid w:val="00430FFB"/>
    <w:rsid w:val="004330CB"/>
    <w:rsid w:val="0045554A"/>
    <w:rsid w:val="00473436"/>
    <w:rsid w:val="004770F1"/>
    <w:rsid w:val="00477EB0"/>
    <w:rsid w:val="00486E84"/>
    <w:rsid w:val="004A116C"/>
    <w:rsid w:val="004A3C40"/>
    <w:rsid w:val="004B0C24"/>
    <w:rsid w:val="004B1382"/>
    <w:rsid w:val="004B1A0F"/>
    <w:rsid w:val="004E7D68"/>
    <w:rsid w:val="004F7D4D"/>
    <w:rsid w:val="0050493A"/>
    <w:rsid w:val="0050717F"/>
    <w:rsid w:val="0051665A"/>
    <w:rsid w:val="0052020C"/>
    <w:rsid w:val="00531CA3"/>
    <w:rsid w:val="005363D1"/>
    <w:rsid w:val="00541D2D"/>
    <w:rsid w:val="00560CC7"/>
    <w:rsid w:val="005646BB"/>
    <w:rsid w:val="005760BB"/>
    <w:rsid w:val="00577457"/>
    <w:rsid w:val="00581D2A"/>
    <w:rsid w:val="00583131"/>
    <w:rsid w:val="00592561"/>
    <w:rsid w:val="005A5F9E"/>
    <w:rsid w:val="005B2322"/>
    <w:rsid w:val="005B2C18"/>
    <w:rsid w:val="005B51B0"/>
    <w:rsid w:val="005B5F74"/>
    <w:rsid w:val="005B649F"/>
    <w:rsid w:val="005C1824"/>
    <w:rsid w:val="005C4F52"/>
    <w:rsid w:val="005E31A6"/>
    <w:rsid w:val="005E71D7"/>
    <w:rsid w:val="006063EA"/>
    <w:rsid w:val="006121B5"/>
    <w:rsid w:val="00622248"/>
    <w:rsid w:val="0062254E"/>
    <w:rsid w:val="006235D9"/>
    <w:rsid w:val="00626EBC"/>
    <w:rsid w:val="00643058"/>
    <w:rsid w:val="006601E7"/>
    <w:rsid w:val="00661945"/>
    <w:rsid w:val="006729A9"/>
    <w:rsid w:val="00677CC8"/>
    <w:rsid w:val="006810E8"/>
    <w:rsid w:val="00682974"/>
    <w:rsid w:val="00687D18"/>
    <w:rsid w:val="00690F03"/>
    <w:rsid w:val="006C0D12"/>
    <w:rsid w:val="006C3036"/>
    <w:rsid w:val="006C3D70"/>
    <w:rsid w:val="006C65AF"/>
    <w:rsid w:val="006E3D16"/>
    <w:rsid w:val="006F420E"/>
    <w:rsid w:val="006F45C9"/>
    <w:rsid w:val="006F6D68"/>
    <w:rsid w:val="00702B1B"/>
    <w:rsid w:val="007047F7"/>
    <w:rsid w:val="00731188"/>
    <w:rsid w:val="00733D65"/>
    <w:rsid w:val="00745ECB"/>
    <w:rsid w:val="007538AA"/>
    <w:rsid w:val="007609F5"/>
    <w:rsid w:val="00766BC5"/>
    <w:rsid w:val="007751D3"/>
    <w:rsid w:val="00790E65"/>
    <w:rsid w:val="007A2D4F"/>
    <w:rsid w:val="007D4764"/>
    <w:rsid w:val="007D72CD"/>
    <w:rsid w:val="007E0B1E"/>
    <w:rsid w:val="007E7D8A"/>
    <w:rsid w:val="00803B1C"/>
    <w:rsid w:val="00804FFA"/>
    <w:rsid w:val="008058D5"/>
    <w:rsid w:val="00805B63"/>
    <w:rsid w:val="00805D78"/>
    <w:rsid w:val="008243F7"/>
    <w:rsid w:val="00830EBC"/>
    <w:rsid w:val="00846472"/>
    <w:rsid w:val="00851134"/>
    <w:rsid w:val="008553FB"/>
    <w:rsid w:val="00855B87"/>
    <w:rsid w:val="00856B13"/>
    <w:rsid w:val="00892EB6"/>
    <w:rsid w:val="00893AAD"/>
    <w:rsid w:val="00895ECB"/>
    <w:rsid w:val="00896574"/>
    <w:rsid w:val="008A05DC"/>
    <w:rsid w:val="008A094D"/>
    <w:rsid w:val="008A192E"/>
    <w:rsid w:val="008A73A0"/>
    <w:rsid w:val="008B1AC4"/>
    <w:rsid w:val="008B2D19"/>
    <w:rsid w:val="008B408F"/>
    <w:rsid w:val="008C6C11"/>
    <w:rsid w:val="008D1A58"/>
    <w:rsid w:val="008F1BC2"/>
    <w:rsid w:val="008F5AD0"/>
    <w:rsid w:val="008F66F0"/>
    <w:rsid w:val="00922337"/>
    <w:rsid w:val="009234B5"/>
    <w:rsid w:val="00924547"/>
    <w:rsid w:val="0093426C"/>
    <w:rsid w:val="0093775C"/>
    <w:rsid w:val="0097010F"/>
    <w:rsid w:val="00970BE4"/>
    <w:rsid w:val="00971E4E"/>
    <w:rsid w:val="009913A8"/>
    <w:rsid w:val="009A1C8E"/>
    <w:rsid w:val="009B1651"/>
    <w:rsid w:val="009C0F34"/>
    <w:rsid w:val="009C2022"/>
    <w:rsid w:val="009D0994"/>
    <w:rsid w:val="009F23FD"/>
    <w:rsid w:val="00A00A57"/>
    <w:rsid w:val="00A20F14"/>
    <w:rsid w:val="00A25511"/>
    <w:rsid w:val="00A40562"/>
    <w:rsid w:val="00A4130B"/>
    <w:rsid w:val="00A440F2"/>
    <w:rsid w:val="00A525E3"/>
    <w:rsid w:val="00A55BCB"/>
    <w:rsid w:val="00A6743F"/>
    <w:rsid w:val="00A734CB"/>
    <w:rsid w:val="00A76C82"/>
    <w:rsid w:val="00A770C2"/>
    <w:rsid w:val="00A96BE3"/>
    <w:rsid w:val="00AA21F3"/>
    <w:rsid w:val="00AB0855"/>
    <w:rsid w:val="00AB0A5F"/>
    <w:rsid w:val="00AC1250"/>
    <w:rsid w:val="00AC7945"/>
    <w:rsid w:val="00AE1470"/>
    <w:rsid w:val="00AF167E"/>
    <w:rsid w:val="00AF1E29"/>
    <w:rsid w:val="00B032D7"/>
    <w:rsid w:val="00B21437"/>
    <w:rsid w:val="00B254EA"/>
    <w:rsid w:val="00B45FD1"/>
    <w:rsid w:val="00B50277"/>
    <w:rsid w:val="00B51775"/>
    <w:rsid w:val="00B535FE"/>
    <w:rsid w:val="00B90224"/>
    <w:rsid w:val="00BA004C"/>
    <w:rsid w:val="00BA1DF9"/>
    <w:rsid w:val="00BC3205"/>
    <w:rsid w:val="00BE2C5C"/>
    <w:rsid w:val="00BE3E13"/>
    <w:rsid w:val="00C01744"/>
    <w:rsid w:val="00C03358"/>
    <w:rsid w:val="00C111DE"/>
    <w:rsid w:val="00C15314"/>
    <w:rsid w:val="00C16E54"/>
    <w:rsid w:val="00C21717"/>
    <w:rsid w:val="00C3470B"/>
    <w:rsid w:val="00C37925"/>
    <w:rsid w:val="00C41688"/>
    <w:rsid w:val="00C4482E"/>
    <w:rsid w:val="00C73E59"/>
    <w:rsid w:val="00C83B9F"/>
    <w:rsid w:val="00C871ED"/>
    <w:rsid w:val="00C903D4"/>
    <w:rsid w:val="00C92828"/>
    <w:rsid w:val="00C93831"/>
    <w:rsid w:val="00CA1EB3"/>
    <w:rsid w:val="00CA2657"/>
    <w:rsid w:val="00CC1C6F"/>
    <w:rsid w:val="00CC47D8"/>
    <w:rsid w:val="00CD1D60"/>
    <w:rsid w:val="00CD3565"/>
    <w:rsid w:val="00CD3C7A"/>
    <w:rsid w:val="00CF7C28"/>
    <w:rsid w:val="00CF7CB3"/>
    <w:rsid w:val="00D134AB"/>
    <w:rsid w:val="00D14B88"/>
    <w:rsid w:val="00D15837"/>
    <w:rsid w:val="00D406B4"/>
    <w:rsid w:val="00D4217A"/>
    <w:rsid w:val="00D54242"/>
    <w:rsid w:val="00D560A4"/>
    <w:rsid w:val="00D616AE"/>
    <w:rsid w:val="00D6602B"/>
    <w:rsid w:val="00D722A1"/>
    <w:rsid w:val="00DA517A"/>
    <w:rsid w:val="00DA5860"/>
    <w:rsid w:val="00DC1CB4"/>
    <w:rsid w:val="00DE3A07"/>
    <w:rsid w:val="00DE4119"/>
    <w:rsid w:val="00DF254C"/>
    <w:rsid w:val="00E018ED"/>
    <w:rsid w:val="00E264AA"/>
    <w:rsid w:val="00E2650D"/>
    <w:rsid w:val="00E273DF"/>
    <w:rsid w:val="00E554B1"/>
    <w:rsid w:val="00E7611F"/>
    <w:rsid w:val="00E76A4B"/>
    <w:rsid w:val="00E80F2F"/>
    <w:rsid w:val="00E95EA3"/>
    <w:rsid w:val="00EB3652"/>
    <w:rsid w:val="00EC5741"/>
    <w:rsid w:val="00EC750E"/>
    <w:rsid w:val="00F1367E"/>
    <w:rsid w:val="00F46B54"/>
    <w:rsid w:val="00F50302"/>
    <w:rsid w:val="00F52270"/>
    <w:rsid w:val="00F7014D"/>
    <w:rsid w:val="00F701F5"/>
    <w:rsid w:val="00F7049E"/>
    <w:rsid w:val="00F7699D"/>
    <w:rsid w:val="00F8241D"/>
    <w:rsid w:val="00F96485"/>
    <w:rsid w:val="00FB6381"/>
    <w:rsid w:val="00FC7596"/>
    <w:rsid w:val="00FD0F00"/>
    <w:rsid w:val="00FD21A1"/>
    <w:rsid w:val="00FD6396"/>
    <w:rsid w:val="00FE2A97"/>
    <w:rsid w:val="00FE4F57"/>
    <w:rsid w:val="00FE74FD"/>
    <w:rsid w:val="00FF005E"/>
  </w:rsids>
  <m:mathPr>
    <m:mathFont m:val="Cambria Math"/>
    <m:brkBin m:val="before"/>
    <m:brkBinSub m:val="--"/>
    <m:smallFrac/>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5A2ED60"/>
  <w15:docId w15:val="{E2C659EF-8B1F-453D-B765-5AD3D4554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076A4E"/>
    <w:rPr>
      <w:rFonts w:cs="Arial Unicode MS"/>
      <w:color w:val="000000"/>
      <w:sz w:val="24"/>
      <w:szCs w:val="24"/>
      <w:u w:color="000000"/>
    </w:rPr>
  </w:style>
  <w:style w:type="paragraph" w:styleId="Ttulo1">
    <w:name w:val="heading 1"/>
    <w:basedOn w:val="Normal"/>
    <w:link w:val="Ttulo1Car"/>
    <w:uiPriority w:val="9"/>
    <w:qFormat/>
    <w:rsid w:val="00BA004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outlineLvl w:val="0"/>
    </w:pPr>
    <w:rPr>
      <w:rFonts w:eastAsia="Times New Roman" w:cs="Times New Roman"/>
      <w:b/>
      <w:bCs/>
      <w:color w:val="auto"/>
      <w:kern w:val="36"/>
      <w:sz w:val="48"/>
      <w:szCs w:val="48"/>
      <w:bdr w:val="none" w:sz="0" w:space="0" w:color="auto"/>
    </w:rPr>
  </w:style>
  <w:style w:type="paragraph" w:styleId="Ttulo3">
    <w:name w:val="heading 3"/>
    <w:basedOn w:val="Normal"/>
    <w:next w:val="Normal"/>
    <w:link w:val="Ttulo3Car"/>
    <w:uiPriority w:val="9"/>
    <w:semiHidden/>
    <w:unhideWhenUsed/>
    <w:qFormat/>
    <w:rsid w:val="000C1E4E"/>
    <w:pPr>
      <w:keepNext/>
      <w:keepLines/>
      <w:spacing w:before="40"/>
      <w:outlineLvl w:val="2"/>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sid w:val="00076A4E"/>
    <w:rPr>
      <w:u w:val="single"/>
    </w:rPr>
  </w:style>
  <w:style w:type="table" w:customStyle="1" w:styleId="TableNormal">
    <w:name w:val="Table Normal"/>
    <w:rsid w:val="00076A4E"/>
    <w:tblPr>
      <w:tblInd w:w="0" w:type="dxa"/>
      <w:tblCellMar>
        <w:top w:w="0" w:type="dxa"/>
        <w:left w:w="0" w:type="dxa"/>
        <w:bottom w:w="0" w:type="dxa"/>
        <w:right w:w="0" w:type="dxa"/>
      </w:tblCellMar>
    </w:tblPr>
  </w:style>
  <w:style w:type="paragraph" w:styleId="Encabezado">
    <w:name w:val="header"/>
    <w:link w:val="EncabezadoCar"/>
    <w:uiPriority w:val="99"/>
    <w:rsid w:val="00076A4E"/>
    <w:pPr>
      <w:tabs>
        <w:tab w:val="center" w:pos="4819"/>
        <w:tab w:val="right" w:pos="9638"/>
      </w:tabs>
    </w:pPr>
    <w:rPr>
      <w:rFonts w:cs="Arial Unicode MS"/>
      <w:color w:val="000000"/>
      <w:sz w:val="24"/>
      <w:szCs w:val="24"/>
      <w:u w:color="000000"/>
    </w:rPr>
  </w:style>
  <w:style w:type="character" w:customStyle="1" w:styleId="Nessuno">
    <w:name w:val="Nessuno"/>
    <w:rsid w:val="00076A4E"/>
  </w:style>
  <w:style w:type="paragraph" w:customStyle="1" w:styleId="Intestazioneepidipagina">
    <w:name w:val="Intestazione e piè di pagina"/>
    <w:rsid w:val="00076A4E"/>
    <w:pPr>
      <w:tabs>
        <w:tab w:val="right" w:pos="9020"/>
      </w:tabs>
    </w:pPr>
    <w:rPr>
      <w:rFonts w:ascii="Helvetica Neue" w:hAnsi="Helvetica Neue" w:cs="Arial Unicode MS"/>
      <w:color w:val="000000"/>
      <w:sz w:val="24"/>
      <w:szCs w:val="24"/>
    </w:rPr>
  </w:style>
  <w:style w:type="table" w:styleId="Tablaconcuadrcula">
    <w:name w:val="Table Grid"/>
    <w:basedOn w:val="Tablanormal"/>
    <w:uiPriority w:val="59"/>
    <w:rsid w:val="008553FB"/>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8553FB"/>
    <w:rPr>
      <w:rFonts w:ascii="Tahoma" w:hAnsi="Tahoma" w:cs="Tahoma"/>
      <w:sz w:val="16"/>
      <w:szCs w:val="16"/>
    </w:rPr>
  </w:style>
  <w:style w:type="character" w:customStyle="1" w:styleId="TextodegloboCar">
    <w:name w:val="Texto de globo Car"/>
    <w:basedOn w:val="Fuentedeprrafopredeter"/>
    <w:link w:val="Textodeglobo"/>
    <w:uiPriority w:val="99"/>
    <w:semiHidden/>
    <w:rsid w:val="008553FB"/>
    <w:rPr>
      <w:rFonts w:ascii="Tahoma" w:hAnsi="Tahoma" w:cs="Tahoma"/>
      <w:color w:val="000000"/>
      <w:sz w:val="16"/>
      <w:szCs w:val="16"/>
      <w:u w:color="000000"/>
      <w:lang w:val="es-ES"/>
    </w:rPr>
  </w:style>
  <w:style w:type="character" w:customStyle="1" w:styleId="Menzionenonrisolta1">
    <w:name w:val="Menzione non risolta1"/>
    <w:basedOn w:val="Fuentedeprrafopredeter"/>
    <w:uiPriority w:val="99"/>
    <w:semiHidden/>
    <w:unhideWhenUsed/>
    <w:rsid w:val="00803B1C"/>
    <w:rPr>
      <w:color w:val="605E5C"/>
      <w:shd w:val="clear" w:color="auto" w:fill="E1DFDD"/>
    </w:rPr>
  </w:style>
  <w:style w:type="character" w:styleId="Refdecomentario">
    <w:name w:val="annotation reference"/>
    <w:basedOn w:val="Fuentedeprrafopredeter"/>
    <w:uiPriority w:val="99"/>
    <w:semiHidden/>
    <w:unhideWhenUsed/>
    <w:rsid w:val="006121B5"/>
    <w:rPr>
      <w:sz w:val="16"/>
      <w:szCs w:val="16"/>
    </w:rPr>
  </w:style>
  <w:style w:type="paragraph" w:styleId="Textocomentario">
    <w:name w:val="annotation text"/>
    <w:basedOn w:val="Normal"/>
    <w:link w:val="TextocomentarioCar"/>
    <w:uiPriority w:val="99"/>
    <w:semiHidden/>
    <w:unhideWhenUsed/>
    <w:rsid w:val="006121B5"/>
    <w:rPr>
      <w:sz w:val="20"/>
      <w:szCs w:val="20"/>
    </w:rPr>
  </w:style>
  <w:style w:type="character" w:customStyle="1" w:styleId="TextocomentarioCar">
    <w:name w:val="Texto comentario Car"/>
    <w:basedOn w:val="Fuentedeprrafopredeter"/>
    <w:link w:val="Textocomentario"/>
    <w:uiPriority w:val="99"/>
    <w:semiHidden/>
    <w:rsid w:val="006121B5"/>
    <w:rPr>
      <w:rFonts w:cs="Arial Unicode MS"/>
      <w:color w:val="000000"/>
      <w:u w:color="000000"/>
      <w:lang w:val="es-ES"/>
    </w:rPr>
  </w:style>
  <w:style w:type="paragraph" w:styleId="Asuntodelcomentario">
    <w:name w:val="annotation subject"/>
    <w:basedOn w:val="Textocomentario"/>
    <w:next w:val="Textocomentario"/>
    <w:link w:val="AsuntodelcomentarioCar"/>
    <w:uiPriority w:val="99"/>
    <w:semiHidden/>
    <w:unhideWhenUsed/>
    <w:rsid w:val="006121B5"/>
    <w:rPr>
      <w:b/>
      <w:bCs/>
    </w:rPr>
  </w:style>
  <w:style w:type="character" w:customStyle="1" w:styleId="AsuntodelcomentarioCar">
    <w:name w:val="Asunto del comentario Car"/>
    <w:basedOn w:val="TextocomentarioCar"/>
    <w:link w:val="Asuntodelcomentario"/>
    <w:uiPriority w:val="99"/>
    <w:semiHidden/>
    <w:rsid w:val="006121B5"/>
    <w:rPr>
      <w:rFonts w:cs="Arial Unicode MS"/>
      <w:b/>
      <w:bCs/>
      <w:color w:val="000000"/>
      <w:u w:color="000000"/>
      <w:lang w:val="es-ES"/>
    </w:rPr>
  </w:style>
  <w:style w:type="paragraph" w:styleId="Revisin">
    <w:name w:val="Revision"/>
    <w:hidden/>
    <w:uiPriority w:val="99"/>
    <w:semiHidden/>
    <w:rsid w:val="006121B5"/>
    <w:pPr>
      <w:pBdr>
        <w:top w:val="none" w:sz="0" w:space="0" w:color="auto"/>
        <w:left w:val="none" w:sz="0" w:space="0" w:color="auto"/>
        <w:bottom w:val="none" w:sz="0" w:space="0" w:color="auto"/>
        <w:right w:val="none" w:sz="0" w:space="0" w:color="auto"/>
        <w:between w:val="none" w:sz="0" w:space="0" w:color="auto"/>
        <w:bar w:val="none" w:sz="0" w:color="auto"/>
      </w:pBdr>
    </w:pPr>
    <w:rPr>
      <w:rFonts w:cs="Arial Unicode MS"/>
      <w:color w:val="000000"/>
      <w:sz w:val="24"/>
      <w:szCs w:val="24"/>
      <w:u w:color="000000"/>
    </w:rPr>
  </w:style>
  <w:style w:type="character" w:customStyle="1" w:styleId="Ttulo1Car">
    <w:name w:val="Título 1 Car"/>
    <w:basedOn w:val="Fuentedeprrafopredeter"/>
    <w:link w:val="Ttulo1"/>
    <w:uiPriority w:val="9"/>
    <w:rsid w:val="00BA004C"/>
    <w:rPr>
      <w:rFonts w:eastAsia="Times New Roman"/>
      <w:b/>
      <w:bCs/>
      <w:kern w:val="36"/>
      <w:sz w:val="48"/>
      <w:szCs w:val="48"/>
      <w:bdr w:val="none" w:sz="0" w:space="0" w:color="auto"/>
    </w:rPr>
  </w:style>
  <w:style w:type="paragraph" w:styleId="Piedepgina">
    <w:name w:val="footer"/>
    <w:basedOn w:val="Normal"/>
    <w:link w:val="PiedepginaCar"/>
    <w:uiPriority w:val="99"/>
    <w:unhideWhenUsed/>
    <w:rsid w:val="007E7D8A"/>
    <w:pPr>
      <w:tabs>
        <w:tab w:val="center" w:pos="4819"/>
        <w:tab w:val="right" w:pos="9638"/>
      </w:tabs>
    </w:pPr>
  </w:style>
  <w:style w:type="character" w:customStyle="1" w:styleId="PiedepginaCar">
    <w:name w:val="Pie de página Car"/>
    <w:basedOn w:val="Fuentedeprrafopredeter"/>
    <w:link w:val="Piedepgina"/>
    <w:uiPriority w:val="99"/>
    <w:rsid w:val="007E7D8A"/>
    <w:rPr>
      <w:rFonts w:cs="Arial Unicode MS"/>
      <w:color w:val="000000"/>
      <w:sz w:val="24"/>
      <w:szCs w:val="24"/>
      <w:u w:color="000000"/>
      <w:lang w:val="es-ES"/>
    </w:rPr>
  </w:style>
  <w:style w:type="character" w:customStyle="1" w:styleId="EncabezadoCar">
    <w:name w:val="Encabezado Car"/>
    <w:basedOn w:val="Fuentedeprrafopredeter"/>
    <w:link w:val="Encabezado"/>
    <w:uiPriority w:val="99"/>
    <w:rsid w:val="007E7D8A"/>
    <w:rPr>
      <w:rFonts w:cs="Arial Unicode MS"/>
      <w:color w:val="000000"/>
      <w:sz w:val="24"/>
      <w:szCs w:val="24"/>
      <w:u w:color="000000"/>
      <w:lang w:val="es-ES"/>
    </w:rPr>
  </w:style>
  <w:style w:type="character" w:styleId="Nmerodepgina">
    <w:name w:val="page number"/>
    <w:basedOn w:val="Fuentedeprrafopredeter"/>
    <w:uiPriority w:val="99"/>
    <w:unhideWhenUsed/>
    <w:rsid w:val="007E7D8A"/>
  </w:style>
  <w:style w:type="character" w:customStyle="1" w:styleId="Ttulo3Car">
    <w:name w:val="Título 3 Car"/>
    <w:basedOn w:val="Fuentedeprrafopredeter"/>
    <w:link w:val="Ttulo3"/>
    <w:uiPriority w:val="9"/>
    <w:semiHidden/>
    <w:rsid w:val="000C1E4E"/>
    <w:rPr>
      <w:rFonts w:asciiTheme="majorHAnsi" w:eastAsiaTheme="majorEastAsia" w:hAnsiTheme="majorHAnsi" w:cstheme="majorBidi"/>
      <w:color w:val="243F60" w:themeColor="accent1" w:themeShade="7F"/>
      <w:sz w:val="24"/>
      <w:szCs w:val="24"/>
      <w:u w:color="000000"/>
      <w:lang w:val="es-ES"/>
    </w:rPr>
  </w:style>
  <w:style w:type="paragraph" w:styleId="Prrafodelista">
    <w:name w:val="List Paragraph"/>
    <w:basedOn w:val="Normal"/>
    <w:uiPriority w:val="34"/>
    <w:qFormat/>
    <w:rsid w:val="006601E7"/>
    <w:pPr>
      <w:pBdr>
        <w:top w:val="none" w:sz="0" w:space="0" w:color="auto"/>
        <w:left w:val="none" w:sz="0" w:space="0" w:color="auto"/>
        <w:bottom w:val="none" w:sz="0" w:space="0" w:color="auto"/>
        <w:right w:val="none" w:sz="0" w:space="0" w:color="auto"/>
        <w:between w:val="none" w:sz="0" w:space="0" w:color="auto"/>
        <w:bar w:val="none" w:sz="0" w:color="auto"/>
      </w:pBdr>
      <w:ind w:left="720"/>
      <w:contextualSpacing/>
    </w:pPr>
    <w:rPr>
      <w:bdr w:val="none" w:sz="0"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56580">
      <w:bodyDiv w:val="1"/>
      <w:marLeft w:val="0"/>
      <w:marRight w:val="0"/>
      <w:marTop w:val="0"/>
      <w:marBottom w:val="0"/>
      <w:divBdr>
        <w:top w:val="none" w:sz="0" w:space="0" w:color="auto"/>
        <w:left w:val="none" w:sz="0" w:space="0" w:color="auto"/>
        <w:bottom w:val="none" w:sz="0" w:space="0" w:color="auto"/>
        <w:right w:val="none" w:sz="0" w:space="0" w:color="auto"/>
      </w:divBdr>
    </w:div>
    <w:div w:id="24136701">
      <w:bodyDiv w:val="1"/>
      <w:marLeft w:val="0"/>
      <w:marRight w:val="0"/>
      <w:marTop w:val="0"/>
      <w:marBottom w:val="0"/>
      <w:divBdr>
        <w:top w:val="none" w:sz="0" w:space="0" w:color="auto"/>
        <w:left w:val="none" w:sz="0" w:space="0" w:color="auto"/>
        <w:bottom w:val="none" w:sz="0" w:space="0" w:color="auto"/>
        <w:right w:val="none" w:sz="0" w:space="0" w:color="auto"/>
      </w:divBdr>
    </w:div>
    <w:div w:id="264002062">
      <w:bodyDiv w:val="1"/>
      <w:marLeft w:val="0"/>
      <w:marRight w:val="0"/>
      <w:marTop w:val="0"/>
      <w:marBottom w:val="0"/>
      <w:divBdr>
        <w:top w:val="none" w:sz="0" w:space="0" w:color="auto"/>
        <w:left w:val="none" w:sz="0" w:space="0" w:color="auto"/>
        <w:bottom w:val="none" w:sz="0" w:space="0" w:color="auto"/>
        <w:right w:val="none" w:sz="0" w:space="0" w:color="auto"/>
      </w:divBdr>
      <w:divsChild>
        <w:div w:id="14167092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2024624">
              <w:marLeft w:val="0"/>
              <w:marRight w:val="0"/>
              <w:marTop w:val="0"/>
              <w:marBottom w:val="0"/>
              <w:divBdr>
                <w:top w:val="none" w:sz="0" w:space="0" w:color="auto"/>
                <w:left w:val="none" w:sz="0" w:space="0" w:color="auto"/>
                <w:bottom w:val="none" w:sz="0" w:space="0" w:color="auto"/>
                <w:right w:val="none" w:sz="0" w:space="0" w:color="auto"/>
              </w:divBdr>
              <w:divsChild>
                <w:div w:id="1216431649">
                  <w:marLeft w:val="0"/>
                  <w:marRight w:val="0"/>
                  <w:marTop w:val="0"/>
                  <w:marBottom w:val="0"/>
                  <w:divBdr>
                    <w:top w:val="none" w:sz="0" w:space="0" w:color="auto"/>
                    <w:left w:val="none" w:sz="0" w:space="0" w:color="auto"/>
                    <w:bottom w:val="none" w:sz="0" w:space="0" w:color="auto"/>
                    <w:right w:val="none" w:sz="0" w:space="0" w:color="auto"/>
                  </w:divBdr>
                  <w:divsChild>
                    <w:div w:id="3557854">
                      <w:marLeft w:val="0"/>
                      <w:marRight w:val="0"/>
                      <w:marTop w:val="0"/>
                      <w:marBottom w:val="0"/>
                      <w:divBdr>
                        <w:top w:val="none" w:sz="0" w:space="0" w:color="auto"/>
                        <w:left w:val="none" w:sz="0" w:space="0" w:color="auto"/>
                        <w:bottom w:val="none" w:sz="0" w:space="0" w:color="auto"/>
                        <w:right w:val="none" w:sz="0" w:space="0" w:color="auto"/>
                      </w:divBdr>
                    </w:div>
                    <w:div w:id="1815029940">
                      <w:marLeft w:val="0"/>
                      <w:marRight w:val="0"/>
                      <w:marTop w:val="0"/>
                      <w:marBottom w:val="0"/>
                      <w:divBdr>
                        <w:top w:val="none" w:sz="0" w:space="0" w:color="auto"/>
                        <w:left w:val="none" w:sz="0" w:space="0" w:color="auto"/>
                        <w:bottom w:val="none" w:sz="0" w:space="0" w:color="auto"/>
                        <w:right w:val="none" w:sz="0" w:space="0" w:color="auto"/>
                      </w:divBdr>
                    </w:div>
                    <w:div w:id="66419097">
                      <w:marLeft w:val="0"/>
                      <w:marRight w:val="0"/>
                      <w:marTop w:val="0"/>
                      <w:marBottom w:val="0"/>
                      <w:divBdr>
                        <w:top w:val="none" w:sz="0" w:space="0" w:color="auto"/>
                        <w:left w:val="none" w:sz="0" w:space="0" w:color="auto"/>
                        <w:bottom w:val="none" w:sz="0" w:space="0" w:color="auto"/>
                        <w:right w:val="none" w:sz="0" w:space="0" w:color="auto"/>
                      </w:divBdr>
                    </w:div>
                    <w:div w:id="544099672">
                      <w:marLeft w:val="0"/>
                      <w:marRight w:val="0"/>
                      <w:marTop w:val="0"/>
                      <w:marBottom w:val="0"/>
                      <w:divBdr>
                        <w:top w:val="none" w:sz="0" w:space="0" w:color="auto"/>
                        <w:left w:val="none" w:sz="0" w:space="0" w:color="auto"/>
                        <w:bottom w:val="none" w:sz="0" w:space="0" w:color="auto"/>
                        <w:right w:val="none" w:sz="0" w:space="0" w:color="auto"/>
                      </w:divBdr>
                    </w:div>
                    <w:div w:id="943003956">
                      <w:marLeft w:val="0"/>
                      <w:marRight w:val="0"/>
                      <w:marTop w:val="0"/>
                      <w:marBottom w:val="0"/>
                      <w:divBdr>
                        <w:top w:val="none" w:sz="0" w:space="0" w:color="auto"/>
                        <w:left w:val="none" w:sz="0" w:space="0" w:color="auto"/>
                        <w:bottom w:val="none" w:sz="0" w:space="0" w:color="auto"/>
                        <w:right w:val="none" w:sz="0" w:space="0" w:color="auto"/>
                      </w:divBdr>
                    </w:div>
                    <w:div w:id="2073966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6726086">
      <w:bodyDiv w:val="1"/>
      <w:marLeft w:val="0"/>
      <w:marRight w:val="0"/>
      <w:marTop w:val="0"/>
      <w:marBottom w:val="0"/>
      <w:divBdr>
        <w:top w:val="none" w:sz="0" w:space="0" w:color="auto"/>
        <w:left w:val="none" w:sz="0" w:space="0" w:color="auto"/>
        <w:bottom w:val="none" w:sz="0" w:space="0" w:color="auto"/>
        <w:right w:val="none" w:sz="0" w:space="0" w:color="auto"/>
      </w:divBdr>
    </w:div>
    <w:div w:id="835731809">
      <w:bodyDiv w:val="1"/>
      <w:marLeft w:val="0"/>
      <w:marRight w:val="0"/>
      <w:marTop w:val="0"/>
      <w:marBottom w:val="0"/>
      <w:divBdr>
        <w:top w:val="none" w:sz="0" w:space="0" w:color="auto"/>
        <w:left w:val="none" w:sz="0" w:space="0" w:color="auto"/>
        <w:bottom w:val="none" w:sz="0" w:space="0" w:color="auto"/>
        <w:right w:val="none" w:sz="0" w:space="0" w:color="auto"/>
      </w:divBdr>
    </w:div>
    <w:div w:id="1151562577">
      <w:bodyDiv w:val="1"/>
      <w:marLeft w:val="0"/>
      <w:marRight w:val="0"/>
      <w:marTop w:val="0"/>
      <w:marBottom w:val="0"/>
      <w:divBdr>
        <w:top w:val="none" w:sz="0" w:space="0" w:color="auto"/>
        <w:left w:val="none" w:sz="0" w:space="0" w:color="auto"/>
        <w:bottom w:val="none" w:sz="0" w:space="0" w:color="auto"/>
        <w:right w:val="none" w:sz="0" w:space="0" w:color="auto"/>
      </w:divBdr>
    </w:div>
    <w:div w:id="20373891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04F1AD2-5104-4A03-9CD0-ACBB514190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744</Words>
  <Characters>4092</Characters>
  <Application>Microsoft Office Word</Application>
  <DocSecurity>0</DocSecurity>
  <Lines>34</Lines>
  <Paragraphs>9</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4827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Patrizia Menicucci</dc:creator>
  <cp:lastModifiedBy>Daniel Sau</cp:lastModifiedBy>
  <cp:revision>4</cp:revision>
  <cp:lastPrinted>2020-11-02T16:06:00Z</cp:lastPrinted>
  <dcterms:created xsi:type="dcterms:W3CDTF">2024-11-05T10:17:00Z</dcterms:created>
  <dcterms:modified xsi:type="dcterms:W3CDTF">2024-11-05T10:25:00Z</dcterms:modified>
</cp:coreProperties>
</file>